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A" w:rsidRPr="00AB192A" w:rsidRDefault="00AB192A" w:rsidP="00AB192A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92A">
        <w:rPr>
          <w:rFonts w:ascii="Times New Roman" w:hAnsi="Times New Roman" w:cs="Times New Roman"/>
          <w:b/>
          <w:sz w:val="28"/>
          <w:szCs w:val="28"/>
        </w:rPr>
        <w:t>Хасенов</w:t>
      </w:r>
      <w:proofErr w:type="spellEnd"/>
      <w:proofErr w:type="gramStart"/>
      <w:r w:rsidRPr="00AB192A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  <w:r w:rsidRPr="00AB192A">
        <w:rPr>
          <w:rFonts w:ascii="Times New Roman" w:hAnsi="Times New Roman" w:cs="Times New Roman"/>
          <w:b/>
          <w:sz w:val="28"/>
          <w:szCs w:val="28"/>
        </w:rPr>
        <w:t xml:space="preserve">услим </w:t>
      </w:r>
      <w:proofErr w:type="spellStart"/>
      <w:r w:rsidRPr="00AB192A">
        <w:rPr>
          <w:rFonts w:ascii="Times New Roman" w:hAnsi="Times New Roman" w:cs="Times New Roman"/>
          <w:b/>
          <w:sz w:val="28"/>
          <w:szCs w:val="28"/>
        </w:rPr>
        <w:t>Ханатович</w:t>
      </w:r>
      <w:proofErr w:type="spellEnd"/>
    </w:p>
    <w:p w:rsidR="00AB192A" w:rsidRPr="00AB192A" w:rsidRDefault="00AB192A" w:rsidP="00AB192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192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AB192A">
        <w:rPr>
          <w:rFonts w:ascii="Times New Roman" w:hAnsi="Times New Roman" w:cs="Times New Roman"/>
          <w:sz w:val="24"/>
          <w:szCs w:val="24"/>
        </w:rPr>
        <w:t xml:space="preserve"> по юриспруденции</w:t>
      </w:r>
    </w:p>
    <w:p w:rsidR="00AB192A" w:rsidRDefault="00AB192A" w:rsidP="00AB192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192A">
        <w:rPr>
          <w:rFonts w:ascii="Times New Roman" w:hAnsi="Times New Roman" w:cs="Times New Roman"/>
          <w:sz w:val="24"/>
          <w:szCs w:val="24"/>
        </w:rPr>
        <w:t xml:space="preserve">руководитель Центра трудового и социального права, </w:t>
      </w:r>
    </w:p>
    <w:p w:rsidR="00771479" w:rsidRPr="00AB192A" w:rsidRDefault="00AB192A" w:rsidP="00AB192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192A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AB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92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2A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Pr="00AB192A">
        <w:rPr>
          <w:rFonts w:ascii="Times New Roman" w:hAnsi="Times New Roman" w:cs="Times New Roman"/>
          <w:sz w:val="24"/>
          <w:szCs w:val="24"/>
        </w:rPr>
        <w:t>КАЗГЮУ</w:t>
      </w:r>
      <w:proofErr w:type="spellEnd"/>
      <w:r w:rsidRPr="00AB192A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AB192A">
        <w:rPr>
          <w:rFonts w:ascii="Times New Roman" w:hAnsi="Times New Roman" w:cs="Times New Roman"/>
          <w:sz w:val="24"/>
          <w:szCs w:val="24"/>
        </w:rPr>
        <w:t>М.С</w:t>
      </w:r>
      <w:proofErr w:type="spellEnd"/>
      <w:r w:rsidRPr="00AB1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92A">
        <w:rPr>
          <w:rFonts w:ascii="Times New Roman" w:hAnsi="Times New Roman" w:cs="Times New Roman"/>
          <w:sz w:val="24"/>
          <w:szCs w:val="24"/>
        </w:rPr>
        <w:t>Нарикбаева</w:t>
      </w:r>
      <w:proofErr w:type="spellEnd"/>
    </w:p>
    <w:p w:rsidR="00AB192A" w:rsidRPr="00771479" w:rsidRDefault="00AB192A" w:rsidP="00AB192A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B66">
        <w:rPr>
          <w:rFonts w:ascii="Times New Roman" w:hAnsi="Times New Roman" w:cs="Times New Roman"/>
          <w:b/>
          <w:sz w:val="32"/>
          <w:szCs w:val="32"/>
        </w:rPr>
        <w:t>Генеральное соглашение на 2021-2023 годы: новый пакет социально-экономических обязательств</w:t>
      </w:r>
      <w:bookmarkStart w:id="0" w:name="_GoBack"/>
      <w:bookmarkEnd w:id="0"/>
    </w:p>
    <w:p w:rsidR="00185B66" w:rsidRDefault="00185B66" w:rsidP="0077147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12 марта подписано новое Генеральное соглашение (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>) между Правительством РК, республиканскими объединениями работодателей и республиканскими объединениями профсоюзов на 2021-2023 годы, то есть социальными партнерами.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B66">
        <w:rPr>
          <w:rFonts w:ascii="Times New Roman" w:hAnsi="Times New Roman" w:cs="Times New Roman"/>
          <w:sz w:val="28"/>
          <w:szCs w:val="28"/>
        </w:rPr>
        <w:t>Уникальность нового Генерального соглашения по сравнению с предыдущими является его конкретика, четкие экономические показатели и новые обязательства, которые стороны приняли на себя.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 xml:space="preserve"> Раньше Генеральные соглашения были чересчур декларативными и ограничивались общими фразами «содействовать, способствовать, усиливать, развивать, совершенствовать…». В них не было определено ни одного целевого индикатора.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Генеральное соглашение представляет собой юридически обязательный документ (статьи 150 – 154 Трудового кодекса РК, статья 97 Кодекса РК об административных правонарушениях).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B66">
        <w:rPr>
          <w:rFonts w:ascii="Times New Roman" w:hAnsi="Times New Roman" w:cs="Times New Roman"/>
          <w:sz w:val="28"/>
          <w:szCs w:val="28"/>
        </w:rPr>
        <w:t>УНИКАЛЬНОСТЬ НОВОГО ГЕНЕРАЛЬНОГО СОГЛАШЕНИЯ ПО СРАВНЕНИЮ С ПРЕДЫДУЩИМИ ЯВЛЯЕТСЯ ЕГО КОНКРЕТИКА, ЧЕТКИЕ ЭКОНОМИЧЕСКИЕ ПОКАЗАТЕЛИ И НОВЫЕ ОБЯЗАТЕЛЬСТВА, КОТОРЫЕ СТОРОНЫ ПРИНЯЛИ НА СЕБЯ.</w:t>
      </w:r>
      <w:proofErr w:type="gramEnd"/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Генеральное соглашение, согласно Трудовому кодексу РК, правовой акт в форме письменного соглашения, между сторонами социального партнерства (государственные органы, работодатели и работники в лице профсоюзов), который определяет содержание и обязательства сторон по установлению условий труда, занятости и социальных гарантий для работни</w:t>
      </w:r>
      <w:r w:rsidR="00771479">
        <w:rPr>
          <w:rFonts w:ascii="Times New Roman" w:hAnsi="Times New Roman" w:cs="Times New Roman"/>
          <w:sz w:val="28"/>
          <w:szCs w:val="28"/>
        </w:rPr>
        <w:t>ков на республиканском уровне.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По сути, это второй Трудовой кодекс, с разницей в том, что его принимает не Парламент, а социальные партнеры, а предмет регулирования выходит далеко за пределы сферы труда, охватывая вопросы экономической и социальной политики.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771479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79">
        <w:rPr>
          <w:rFonts w:ascii="Times New Roman" w:hAnsi="Times New Roman" w:cs="Times New Roman"/>
          <w:b/>
          <w:sz w:val="28"/>
          <w:szCs w:val="28"/>
        </w:rPr>
        <w:t>Разработчики и структура Генерального соглашения (</w:t>
      </w:r>
      <w:proofErr w:type="spellStart"/>
      <w:r w:rsidRPr="00771479">
        <w:rPr>
          <w:rFonts w:ascii="Times New Roman" w:hAnsi="Times New Roman" w:cs="Times New Roman"/>
          <w:b/>
          <w:sz w:val="28"/>
          <w:szCs w:val="28"/>
        </w:rPr>
        <w:t>ГС</w:t>
      </w:r>
      <w:proofErr w:type="spellEnd"/>
      <w:r w:rsidRPr="00771479">
        <w:rPr>
          <w:rFonts w:ascii="Times New Roman" w:hAnsi="Times New Roman" w:cs="Times New Roman"/>
          <w:b/>
          <w:sz w:val="28"/>
          <w:szCs w:val="28"/>
        </w:rPr>
        <w:t>)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велась в течение 2020 года социальными партнерами республиканского уровня.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lastRenderedPageBreak/>
        <w:t>На содержание соглашения серьезно повлияли республиканские и отраслевые объединения профсоюзов, которые в марте 2020 года впервые в истории выступили единым фронтом, создав объединенную рабочую группу.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В результате объединенных усилий рабочей группы, а также с участием экономистов, юристов и производственников </w:t>
      </w:r>
      <w:r w:rsidR="00C526DD">
        <w:rPr>
          <w:rFonts w:ascii="Times New Roman" w:hAnsi="Times New Roman" w:cs="Times New Roman"/>
          <w:sz w:val="28"/>
          <w:szCs w:val="28"/>
        </w:rPr>
        <w:t>Координационного Совета «</w:t>
      </w:r>
      <w:proofErr w:type="spellStart"/>
      <w:r w:rsidR="00C526DD">
        <w:rPr>
          <w:rFonts w:ascii="Times New Roman" w:hAnsi="Times New Roman" w:cs="Times New Roman"/>
          <w:sz w:val="28"/>
          <w:szCs w:val="28"/>
        </w:rPr>
        <w:t>Yntyma</w:t>
      </w:r>
      <w:proofErr w:type="spellEnd"/>
      <w:r w:rsidR="00C526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5B66">
        <w:rPr>
          <w:rFonts w:ascii="Times New Roman" w:hAnsi="Times New Roman" w:cs="Times New Roman"/>
          <w:sz w:val="28"/>
          <w:szCs w:val="28"/>
        </w:rPr>
        <w:t>» проект соглашения оформился в конкретных цифрах и обязательствах.</w:t>
      </w:r>
    </w:p>
    <w:p w:rsid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В августе согласованный проект от имени профсоюзов был направлен в Министерство труда и социальной защиты населения. В результате переговоров с правительством и объединениями работодателей предлагаемая профсоюзами структура соглашения была отражена в итоговом тексте (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рис.1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Структура Генерального соглашения)</w:t>
      </w:r>
      <w:r w:rsidR="00771479">
        <w:rPr>
          <w:rFonts w:ascii="Times New Roman" w:hAnsi="Times New Roman" w:cs="Times New Roman"/>
          <w:sz w:val="28"/>
          <w:szCs w:val="28"/>
        </w:rPr>
        <w:t>.</w:t>
      </w:r>
    </w:p>
    <w:p w:rsidR="00771479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F0A31" wp14:editId="2B26F236">
            <wp:extent cx="5572125" cy="3371850"/>
            <wp:effectExtent l="0" t="0" r="9525" b="0"/>
            <wp:docPr id="13" name="Рисунок 13" descr="C:\Users\123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23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Таким образом, по своему содержанию Генеральное соглашение выходит далеко за пределы трудовых отношений. Соглашение охватывает экономическую и социальную политику, тем самым демонстрируя масштабность и действенность модели социального партнерства, как механизма согласования взаимных обязательств институтов власти и гражданского общества в социально-экономической сфере. 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Условно обязательства можно разделить на несколько групп: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обязательства в экономической политике;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обязательства в социальной политике;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обязательства в сфере труда, занятости и социального партнерства.</w:t>
      </w:r>
    </w:p>
    <w:p w:rsidR="00771479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771479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79">
        <w:rPr>
          <w:rFonts w:ascii="Times New Roman" w:hAnsi="Times New Roman" w:cs="Times New Roman"/>
          <w:b/>
          <w:sz w:val="28"/>
          <w:szCs w:val="28"/>
        </w:rPr>
        <w:t>Ключевые обязательства в экономической политике</w:t>
      </w:r>
    </w:p>
    <w:p w:rsid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особенностью нового Генерального соглашения, чего раньше не было ни в одном предшествующем документе, стало определение конкретных экономических показателей, которых </w:t>
      </w:r>
      <w:proofErr w:type="gramStart"/>
      <w:r w:rsidRPr="00185B66">
        <w:rPr>
          <w:rFonts w:ascii="Times New Roman" w:hAnsi="Times New Roman" w:cs="Times New Roman"/>
          <w:sz w:val="28"/>
          <w:szCs w:val="28"/>
        </w:rPr>
        <w:t>должно достичь Правительство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 xml:space="preserve"> к 2023 году в результате реализации 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контрциклической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макроэкономической политики (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рис.2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Ключевые экономические индикаторы Правительства). </w:t>
      </w:r>
    </w:p>
    <w:p w:rsidR="00771479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6D77D" wp14:editId="3D259008">
            <wp:extent cx="5572125" cy="2486025"/>
            <wp:effectExtent l="0" t="0" r="9525" b="9525"/>
            <wp:docPr id="14" name="Рисунок 14" descr="C:\Users\123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23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Правительство согласилось достигать экономических показателей, с учетом действий других социальных партнеров 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, совместно прорабатывая меры по развитию налогово-бюджетной политики, системы мониторинга и оценки эффективности субсидий и мер поддержки, а также политики по развитию конкуренции и обеспечению доступности финансирования для бизнеса. 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Акцент в экономической политике определен на стимулирование 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и повышение конкурентоспособности отечественных производителей товаров и услуг.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ОСОБЕННОСТЬЮ НОВОГО ГЕНЕРАЛЬНОГО СОГЛАШЕНИЯ, ЧЕГО РАНЬШЕ НЕ БЫЛО НИ В ОДНОМ ПРЕДШЕСТВУЮЩЕМ ДОКУМЕНТЕ, СТАЛО ОПРЕДЕЛЕНИЕ КОНКРЕТНЫХ ЭКОНОМИЧЕСКИХ ПОКАЗАТЕЛЕЙ, КОТОРЫХ </w:t>
      </w:r>
      <w:proofErr w:type="gramStart"/>
      <w:r w:rsidRPr="00185B66">
        <w:rPr>
          <w:rFonts w:ascii="Times New Roman" w:hAnsi="Times New Roman" w:cs="Times New Roman"/>
          <w:sz w:val="28"/>
          <w:szCs w:val="28"/>
        </w:rPr>
        <w:t>ДОЛЖНО ДОСТИЧЬ ПРАВИТЕЛЬСТВО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 xml:space="preserve"> К 2023 ГОДУ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9">
        <w:rPr>
          <w:rFonts w:ascii="Times New Roman" w:hAnsi="Times New Roman" w:cs="Times New Roman"/>
          <w:b/>
          <w:sz w:val="28"/>
          <w:szCs w:val="28"/>
        </w:rPr>
        <w:t>Отдельный блок вопросов посвящен развитию конкуренции</w:t>
      </w:r>
      <w:r w:rsidRPr="00185B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5B66">
        <w:rPr>
          <w:rFonts w:ascii="Times New Roman" w:hAnsi="Times New Roman" w:cs="Times New Roman"/>
          <w:sz w:val="28"/>
          <w:szCs w:val="28"/>
        </w:rPr>
        <w:t xml:space="preserve">Правительство взяло на себя обязательство совершенствовать законодательство по принципу «разрушения искусственных монополий», с участием социальных партнеров продолжая работу по внедрению 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развитию конкуренции (рис 3.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B66">
        <w:rPr>
          <w:rFonts w:ascii="Times New Roman" w:hAnsi="Times New Roman" w:cs="Times New Roman"/>
          <w:sz w:val="28"/>
          <w:szCs w:val="28"/>
        </w:rPr>
        <w:t>Ключевые обязательства по экономической политике).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 xml:space="preserve"> При этом правительство планирует сформировать систему стандартов развития конкуренции в отраслях и регионах.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135088" wp14:editId="31055224">
            <wp:extent cx="5572125" cy="3867150"/>
            <wp:effectExtent l="0" t="0" r="9525" b="0"/>
            <wp:docPr id="15" name="Рисунок 15" descr="C:\Users\123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23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Для сравнения, в предыдущем Генеральном соглашении (на 2018-2020 годы) обязательства в области экономической политики сводились к содействию ускоренной технологической модернизации экономики и улучшению </w:t>
      </w:r>
      <w:proofErr w:type="gramStart"/>
      <w:r w:rsidRPr="00185B66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 xml:space="preserve">. Наиболее предметно это выражалось в принятии совместных системных мер по 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дерегулированию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бизнеса, либерализации процедур контроля и надзора за деятельностью субъектов частного бизнеса и расширении мер государственной поддержки 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МСБ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>. Никакие макроэкономические показатели определены не были.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771479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79">
        <w:rPr>
          <w:rFonts w:ascii="Times New Roman" w:hAnsi="Times New Roman" w:cs="Times New Roman"/>
          <w:b/>
          <w:sz w:val="28"/>
          <w:szCs w:val="28"/>
        </w:rPr>
        <w:t>Ключевые обязательства в социальной политике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Основой социальной </w:t>
      </w:r>
      <w:proofErr w:type="gramStart"/>
      <w:r w:rsidRPr="00185B66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 xml:space="preserve"> предстоящие годы можно назвать совместную разработку проекта Социального кодекса и вопросов модернизации модели социальной политики. При этом в процессе повышения стандартов и норм социального обеспечения должны учитываться рекомендации Международной организации труда (МОТ). 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Новеллами можно назвать внедрение цифровой платформы «социальный кошелек» гражданина в рамках цифровизации социальных платежей. Предполагается, что граждане будут получать социальные выплаты через единый цифровой счет, не привязанный к какому-либо банку. Тем самым защищая социальные выплаты от взысканий по судебным исполнительным листам, а также рисков ухудшения ситуации в банках или банкротства банков.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lastRenderedPageBreak/>
        <w:t>«СОЦИАЛЬНЫЙ КОШЕЛЕК» ГРАЖДАНИНА -</w:t>
      </w:r>
      <w:r w:rsidR="00771479">
        <w:rPr>
          <w:rFonts w:ascii="Times New Roman" w:hAnsi="Times New Roman" w:cs="Times New Roman"/>
          <w:sz w:val="28"/>
          <w:szCs w:val="28"/>
        </w:rPr>
        <w:t xml:space="preserve"> </w:t>
      </w:r>
      <w:r w:rsidRPr="00185B66">
        <w:rPr>
          <w:rFonts w:ascii="Times New Roman" w:hAnsi="Times New Roman" w:cs="Times New Roman"/>
          <w:sz w:val="28"/>
          <w:szCs w:val="28"/>
        </w:rPr>
        <w:t>ЦИФРОВОЙ СЧЕТ, НЕ ПРИВЯЗАННЫЙ К КАКОМУ-ЛИБО БАНКУ. ЭТО ПОЗВОЛИТ ЗАЩИТИТЬ СОЦИАЛЬНЫЕ ВЫПЛАТЫ ОТ ВЗЫСКАНИЙ ПО СУДЕБНЫМ ИСПОЛНИТЕЛЬНЫМ ЛИСТАМ, А ТАКЖЕ РИСКОВ УХУДШЕНИЯ СИТУАЦИИ В БАНКАХ ИЛИ БАНКРОТСТВА БАНКОВ.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Среди конкретных обязательств обозначено рассмотрение вопроса увеличения предельного значения социального пособия по временной нетрудоспособности (иными словами оплата больничного листа) и реформирование системы обязательного страхования работника от несчастных случаев при исполнении им трудовых (служебных) обязанностей (</w:t>
      </w:r>
      <w:proofErr w:type="spellStart"/>
      <w:r w:rsidRPr="00185B66">
        <w:rPr>
          <w:rFonts w:ascii="Times New Roman" w:hAnsi="Times New Roman" w:cs="Times New Roman"/>
          <w:sz w:val="28"/>
          <w:szCs w:val="28"/>
        </w:rPr>
        <w:t>рис.4</w:t>
      </w:r>
      <w:proofErr w:type="spellEnd"/>
      <w:r w:rsidRPr="00185B66">
        <w:rPr>
          <w:rFonts w:ascii="Times New Roman" w:hAnsi="Times New Roman" w:cs="Times New Roman"/>
          <w:sz w:val="28"/>
          <w:szCs w:val="28"/>
        </w:rPr>
        <w:t xml:space="preserve"> Ключевые обязательства по социальной политике).</w:t>
      </w:r>
    </w:p>
    <w:p w:rsidR="00771479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CF5A9" wp14:editId="3BD93248">
            <wp:extent cx="5572125" cy="3733800"/>
            <wp:effectExtent l="0" t="0" r="9525" b="0"/>
            <wp:docPr id="16" name="Рисунок 16" descr="C:\Users\123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23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79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В случае положительного рассмотрения вопросов реформирования будут достигнуты следующие результаты: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работники, занятые на тяжелых работах, работах с вредными и (или) опасными условиями труда, смогут выходить на пенсию раньше установленного в настоящее время срока;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трудовой стаж на предприятии будет напрямую влиять на размер возмещения работодателем вреда здоровью работника, повлекшего его временную нетрудоспособность;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будет увеличен размер выплат по возмещению вреда здоровью работника (регрессные выплаты) пропорционально росту средней заработной платы в организации по соответствующей квалификации (должности).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lastRenderedPageBreak/>
        <w:t>К примеру, в предыдущем Генеральном соглашении раздела социальной политики не было. Социальный блок сводился к сфере труда, занятости и улучшению качества человеческого капитала.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771479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79">
        <w:rPr>
          <w:rFonts w:ascii="Times New Roman" w:hAnsi="Times New Roman" w:cs="Times New Roman"/>
          <w:b/>
          <w:sz w:val="28"/>
          <w:szCs w:val="28"/>
        </w:rPr>
        <w:t>Ключевые обязательства в сфере труда, занятости и социального партнерства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В основе обязатель</w:t>
      </w:r>
      <w:proofErr w:type="gramStart"/>
      <w:r w:rsidRPr="00185B66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185B66">
        <w:rPr>
          <w:rFonts w:ascii="Times New Roman" w:hAnsi="Times New Roman" w:cs="Times New Roman"/>
          <w:sz w:val="28"/>
          <w:szCs w:val="28"/>
        </w:rPr>
        <w:t>ере труда, занятости и социального партнерства были обозначены институциональные и экономические меры.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К институциональным мерам относятся 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 xml:space="preserve">разработка Закона «О социальном партнёрстве», предусматривающего расширение сферы применения социального партнёрства; 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совместная подготовка Национального доклада о социально-трудовых от</w:t>
      </w:r>
      <w:r>
        <w:rPr>
          <w:rFonts w:ascii="Times New Roman" w:hAnsi="Times New Roman" w:cs="Times New Roman"/>
          <w:sz w:val="28"/>
          <w:szCs w:val="28"/>
        </w:rPr>
        <w:t>ношениях в Республике Казахстан;</w:t>
      </w:r>
    </w:p>
    <w:p w:rsidR="00185B66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B66" w:rsidRPr="00185B66">
        <w:rPr>
          <w:rFonts w:ascii="Times New Roman" w:hAnsi="Times New Roman" w:cs="Times New Roman"/>
          <w:sz w:val="28"/>
          <w:szCs w:val="28"/>
        </w:rPr>
        <w:t>и принятие Дорожной карты по реализации Концепции достойного труда, рекомендуемой МОТ.</w:t>
      </w:r>
    </w:p>
    <w:p w:rsidR="00771479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К мерам экономического характера можно отнести рассмотрение вопроса повышения размера минимальной заработной платы, ратификации Конвенции МОТ № 131 «Об установлении минимальной заработной платы с особым учётом развивающихся стран» и частичного субсидирования (возмещения) из государственного бюджета расходов работодателей при наступлении чрезвычайных положений на всей территории РК.</w:t>
      </w:r>
    </w:p>
    <w:p w:rsidR="00771479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479" w:rsidRPr="00185B66" w:rsidRDefault="00771479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67F1A">
            <wp:extent cx="5572125" cy="3517900"/>
            <wp:effectExtent l="0" t="0" r="952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B66" w:rsidRPr="00771479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Кроме того, будет рассмотрен вопрос </w:t>
      </w:r>
      <w:r w:rsidRPr="00771479">
        <w:rPr>
          <w:rFonts w:ascii="Times New Roman" w:hAnsi="Times New Roman" w:cs="Times New Roman"/>
          <w:b/>
          <w:sz w:val="28"/>
          <w:szCs w:val="28"/>
        </w:rPr>
        <w:t xml:space="preserve">ратификации 19 Конвенций МОТ и отмены списка работ, на которых ограничивается применение труда женщин. 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lastRenderedPageBreak/>
        <w:t>Стоит отметить, что в предыдущем Генеральном соглашении были обозначены 4 конвенции МОТ, подлежащие ратификации, которые, к слову, так и не были ратифицированы Казахстаном.</w:t>
      </w:r>
    </w:p>
    <w:p w:rsidR="00185B66" w:rsidRPr="00771479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66" w:rsidRPr="00771479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Таким образом, содержательно Генеральное соглашение содержит качественно новый пакет социально-экономических обязательств, формирование которых стало возможным благодаря консолидации профсоюзного сообщества и конструктивным коллективным переговорам социальных партнеров.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>Предстоит постоянный мониторинг исполнения взятых на себя обязательств и вовлечение широкого круга экспертов и заинтересованных лиц в процесс реализации обозначенных направлений социально-экономической политики.</w:t>
      </w:r>
    </w:p>
    <w:p w:rsidR="00185B66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C9F" w:rsidRPr="00185B66" w:rsidRDefault="00185B66" w:rsidP="00185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6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="00771479" w:rsidRPr="00C032D8">
          <w:rPr>
            <w:rStyle w:val="a6"/>
            <w:rFonts w:ascii="Times New Roman" w:hAnsi="Times New Roman" w:cs="Times New Roman"/>
            <w:sz w:val="28"/>
            <w:szCs w:val="28"/>
          </w:rPr>
          <w:t>https://ekonomist.kz/khassenov/generalnoe-soglashenie-na-2021-2023-gody-novyj-paket-socialno-ekonomicheskih-obyazatelstv/</w:t>
        </w:r>
      </w:hyperlink>
      <w:r w:rsidR="007714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2C9F" w:rsidRPr="0018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6"/>
    <w:rsid w:val="00162C9F"/>
    <w:rsid w:val="00185B66"/>
    <w:rsid w:val="00771479"/>
    <w:rsid w:val="00AB192A"/>
    <w:rsid w:val="00C526DD"/>
    <w:rsid w:val="00E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430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000000"/>
            <w:bottom w:val="none" w:sz="0" w:space="0" w:color="auto"/>
            <w:right w:val="none" w:sz="0" w:space="12" w:color="auto"/>
          </w:divBdr>
        </w:div>
        <w:div w:id="834762243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000000"/>
            <w:bottom w:val="none" w:sz="0" w:space="0" w:color="auto"/>
            <w:right w:val="none" w:sz="0" w:space="12" w:color="auto"/>
          </w:divBdr>
        </w:div>
        <w:div w:id="174999405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000000"/>
            <w:bottom w:val="none" w:sz="0" w:space="0" w:color="auto"/>
            <w:right w:val="none" w:sz="0" w:space="12" w:color="auto"/>
          </w:divBdr>
        </w:div>
      </w:divsChild>
    </w:div>
    <w:div w:id="1179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318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000000"/>
            <w:bottom w:val="none" w:sz="0" w:space="0" w:color="auto"/>
            <w:right w:val="none" w:sz="0" w:space="12" w:color="auto"/>
          </w:divBdr>
        </w:div>
        <w:div w:id="862672256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000000"/>
            <w:bottom w:val="none" w:sz="0" w:space="0" w:color="auto"/>
            <w:right w:val="none" w:sz="0" w:space="12" w:color="auto"/>
          </w:divBdr>
        </w:div>
        <w:div w:id="616254962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000000"/>
            <w:bottom w:val="none" w:sz="0" w:space="0" w:color="auto"/>
            <w:right w:val="none" w:sz="0" w:space="1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konomist.kz/khassenov/generalnoe-soglashenie-na-2021-2023-gody-novyj-paket-socialno-ekonomicheskih-obyazatelst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2021-07-07T07:08:00Z</dcterms:created>
  <dcterms:modified xsi:type="dcterms:W3CDTF">2021-07-07T15:19:00Z</dcterms:modified>
</cp:coreProperties>
</file>